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R4-2108768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 on handover with PSCell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9.9.2.2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98-bis-e,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spacing w:after="200" w:line="276" w:lineRule="auto"/>
              <w:ind w:left="0" w:leftChars="0"/>
              <w:contextualSpacing/>
              <w:jc w:val="center"/>
            </w:pPr>
            <w:r>
              <w:drawing>
                <wp:inline distT="0" distB="0" distL="114300" distR="114300">
                  <wp:extent cx="4662805" cy="1792605"/>
                  <wp:effectExtent l="0" t="0" r="444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662805" cy="1792605"/>
                          </a:xfrm>
                          <a:prstGeom prst="rect">
                            <a:avLst/>
                          </a:prstGeom>
                          <a:noFill/>
                          <a:ln>
                            <a:noFill/>
                          </a:ln>
                        </pic:spPr>
                      </pic:pic>
                    </a:graphicData>
                  </a:graphic>
                </wp:inline>
              </w:drawing>
            </w:r>
          </w:p>
          <w:p>
            <w:pPr>
              <w:pStyle w:val="28"/>
              <w:spacing w:after="200" w:line="276" w:lineRule="auto"/>
              <w:ind w:left="0" w:leftChars="0"/>
              <w:contextualSpacing/>
              <w:jc w:val="center"/>
            </w:pPr>
            <w:r>
              <w:drawing>
                <wp:inline distT="0" distB="0" distL="114300" distR="114300">
                  <wp:extent cx="5004435" cy="1133475"/>
                  <wp:effectExtent l="0" t="0" r="571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004435" cy="1133475"/>
                          </a:xfrm>
                          <a:prstGeom prst="rect">
                            <a:avLst/>
                          </a:prstGeom>
                          <a:noFill/>
                          <a:ln>
                            <a:noFill/>
                          </a:ln>
                        </pic:spPr>
                      </pic:pic>
                    </a:graphicData>
                  </a:graphic>
                </wp:inline>
              </w:drawing>
            </w:r>
          </w:p>
          <w:p>
            <w:pPr>
              <w:pStyle w:val="28"/>
              <w:spacing w:after="200" w:line="276" w:lineRule="auto"/>
              <w:ind w:left="0" w:leftChars="0"/>
              <w:contextualSpacing/>
              <w:jc w:val="center"/>
            </w:pPr>
            <w:r>
              <w:drawing>
                <wp:inline distT="0" distB="0" distL="114300" distR="114300">
                  <wp:extent cx="6106160" cy="842645"/>
                  <wp:effectExtent l="0" t="0" r="889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6106160" cy="842645"/>
                          </a:xfrm>
                          <a:prstGeom prst="rect">
                            <a:avLst/>
                          </a:prstGeom>
                          <a:noFill/>
                          <a:ln>
                            <a:noFill/>
                          </a:ln>
                        </pic:spPr>
                      </pic:pic>
                    </a:graphicData>
                  </a:graphic>
                </wp:inline>
              </w:drawing>
            </w:r>
          </w:p>
          <w:p>
            <w:pPr>
              <w:pStyle w:val="28"/>
              <w:spacing w:after="200" w:line="276" w:lineRule="auto"/>
              <w:ind w:left="0" w:leftChars="0"/>
              <w:contextualSpacing/>
              <w:jc w:val="both"/>
              <w:rPr>
                <w:rFonts w:hint="eastAsia"/>
                <w:lang w:val="en-US" w:eastAsia="zh-CN"/>
              </w:rPr>
            </w:pP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As pointed out in the WID, the procedures for handover with PSCell are already supported by RAN2 and captured in RAN2 specification TS 37.340 [2]. As captured in TS 37.340, the procedure for handover with PSCell change is depicted below.</w:t>
      </w:r>
    </w:p>
    <w:p>
      <w:pPr>
        <w:rPr>
          <w:rFonts w:hint="default" w:eastAsia="宋体"/>
          <w:sz w:val="22"/>
          <w:szCs w:val="22"/>
          <w:lang w:val="en-US" w:eastAsia="zh-CN"/>
        </w:rPr>
      </w:pPr>
      <w:r>
        <w:object>
          <v:shape id="_x0000_i1025" o:spt="75" type="#_x0000_t75" style="height:327.75pt;width:48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rPr>
          <w:rFonts w:hint="default" w:eastAsia="宋体"/>
          <w:sz w:val="22"/>
          <w:szCs w:val="22"/>
          <w:lang w:val="en-US" w:eastAsia="zh-CN"/>
        </w:rPr>
      </w:pPr>
    </w:p>
    <w:p>
      <w:pPr>
        <w:rPr>
          <w:rFonts w:hint="eastAsia" w:eastAsia="宋体"/>
          <w:sz w:val="22"/>
          <w:szCs w:val="22"/>
          <w:lang w:val="en-US" w:eastAsia="zh-CN"/>
        </w:rPr>
      </w:pPr>
      <w:r>
        <w:object>
          <v:shape id="_x0000_i1026" o:spt="75" type="#_x0000_t75" style="height:261.75pt;width:429.7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rPr>
          <w:rFonts w:hint="default" w:eastAsia="宋体"/>
          <w:sz w:val="22"/>
          <w:szCs w:val="22"/>
          <w:lang w:val="en-US" w:eastAsia="zh-CN"/>
        </w:rPr>
      </w:pPr>
      <w:r>
        <w:rPr>
          <w:rFonts w:hint="eastAsia" w:eastAsia="宋体"/>
          <w:sz w:val="22"/>
          <w:szCs w:val="22"/>
          <w:lang w:val="en-US" w:eastAsia="zh-CN"/>
        </w:rPr>
        <w:t xml:space="preserve">During the handover, the master node is changed and a secondary node (the PSCell) can be added. The procedure is similar to handover plus PSCell addition </w:t>
      </w:r>
      <w:bookmarkStart w:id="4" w:name="_GoBack"/>
      <w:bookmarkEnd w:id="4"/>
      <w:r>
        <w:rPr>
          <w:rFonts w:hint="eastAsia" w:eastAsia="宋体"/>
          <w:sz w:val="22"/>
          <w:szCs w:val="22"/>
          <w:lang w:val="en-US" w:eastAsia="zh-CN"/>
        </w:rPr>
        <w:t>immediately.</w:t>
      </w:r>
    </w:p>
    <w:p>
      <w:pPr>
        <w:rPr>
          <w:rFonts w:hint="eastAsia" w:eastAsia="宋体"/>
          <w:sz w:val="22"/>
          <w:szCs w:val="22"/>
          <w:lang w:val="en-US" w:eastAsia="zh-CN"/>
        </w:rPr>
      </w:pPr>
      <w:r>
        <w:rPr>
          <w:rFonts w:hint="eastAsia" w:eastAsia="宋体"/>
          <w:sz w:val="22"/>
          <w:szCs w:val="22"/>
          <w:lang w:val="en-US" w:eastAsia="zh-CN"/>
        </w:rPr>
        <w:t>The mission for RAN4 within this WI is to specify related requirements (core requirement). We think the reasonable approach is to take core requirements for handover and PSCell addition as baseline and identify if there is any new issue in the new procedure.</w:t>
      </w:r>
    </w:p>
    <w:p>
      <w:pPr>
        <w:rPr>
          <w:rFonts w:hint="default" w:eastAsia="宋体"/>
          <w:sz w:val="22"/>
          <w:szCs w:val="22"/>
          <w:lang w:val="en-US" w:eastAsia="zh-CN"/>
        </w:rPr>
      </w:pPr>
      <w:r>
        <w:rPr>
          <w:rFonts w:hint="eastAsia" w:eastAsia="宋体"/>
          <w:sz w:val="22"/>
          <w:szCs w:val="22"/>
          <w:lang w:val="en-US" w:eastAsia="zh-CN"/>
        </w:rPr>
        <w:t xml:space="preserve">Thus, for the starting point of the delay, we support to </w:t>
      </w:r>
      <w:r>
        <w:rPr>
          <w:rFonts w:hint="default" w:eastAsia="宋体"/>
          <w:sz w:val="22"/>
          <w:szCs w:val="22"/>
          <w:lang w:val="en-US" w:eastAsia="zh-CN"/>
        </w:rPr>
        <w:t>reuse the starting point definition from legacy HO, i.e., the end of the last TTI containing the RRC command implying handover with PSCell.</w:t>
      </w:r>
    </w:p>
    <w:p>
      <w:pPr>
        <w:pStyle w:val="38"/>
        <w:rPr>
          <w:rFonts w:hint="default" w:eastAsia="宋体"/>
          <w:sz w:val="22"/>
          <w:szCs w:val="22"/>
          <w:lang w:val="en-US" w:eastAsia="zh-CN"/>
        </w:rPr>
      </w:pPr>
      <w:r>
        <w:rPr>
          <w:rFonts w:hint="eastAsia" w:eastAsia="宋体"/>
          <w:sz w:val="22"/>
          <w:szCs w:val="22"/>
          <w:lang w:val="en-US" w:eastAsia="zh-CN"/>
        </w:rPr>
        <w:t xml:space="preserve">For the starting point of the delay, </w:t>
      </w:r>
      <w:r>
        <w:rPr>
          <w:rFonts w:hint="default" w:eastAsia="宋体"/>
          <w:sz w:val="22"/>
          <w:szCs w:val="22"/>
          <w:lang w:val="en-US" w:eastAsia="zh-CN"/>
        </w:rPr>
        <w:t>reuse the starting point definition from legacy HO, i.e., the end of the last TTI containing the RRC command implying handover with PSCell.</w:t>
      </w:r>
    </w:p>
    <w:p>
      <w:pPr>
        <w:rPr>
          <w:rFonts w:hint="eastAsia" w:eastAsia="宋体"/>
          <w:sz w:val="22"/>
          <w:szCs w:val="22"/>
          <w:lang w:val="en-US" w:eastAsia="zh-CN"/>
        </w:rPr>
      </w:pPr>
      <w:r>
        <w:rPr>
          <w:rFonts w:hint="eastAsia" w:eastAsia="宋体"/>
          <w:sz w:val="22"/>
          <w:szCs w:val="22"/>
          <w:lang w:val="en-US" w:eastAsia="zh-CN"/>
        </w:rPr>
        <w:t>As to the order of handover and PSCell addition, we think that as this WI is a new WI in R17 for enhancement, we should assume that the UE shall be capable to perform handover and PSCell addition in parallel. Otherwise if the handover and PSCell addition is performed in sequential order, there</w:t>
      </w:r>
      <w:r>
        <w:rPr>
          <w:rFonts w:hint="default" w:eastAsia="宋体"/>
          <w:sz w:val="22"/>
          <w:szCs w:val="22"/>
          <w:lang w:val="en-US" w:eastAsia="zh-CN"/>
        </w:rPr>
        <w:t>’</w:t>
      </w:r>
      <w:r>
        <w:rPr>
          <w:rFonts w:hint="eastAsia" w:eastAsia="宋体"/>
          <w:sz w:val="22"/>
          <w:szCs w:val="22"/>
          <w:lang w:val="en-US" w:eastAsia="zh-CN"/>
        </w:rPr>
        <w:t>s not much difference than the current procedures in R16 and not much enhancement to be achieved.</w:t>
      </w:r>
    </w:p>
    <w:p>
      <w:pPr>
        <w:pStyle w:val="38"/>
        <w:rPr>
          <w:rFonts w:hint="default" w:eastAsia="宋体"/>
          <w:sz w:val="22"/>
          <w:szCs w:val="22"/>
          <w:lang w:val="en-US" w:eastAsia="zh-CN"/>
        </w:rPr>
      </w:pPr>
      <w:r>
        <w:rPr>
          <w:rFonts w:hint="eastAsia" w:eastAsia="宋体"/>
          <w:sz w:val="22"/>
          <w:szCs w:val="22"/>
          <w:lang w:val="en-US" w:eastAsia="zh-CN"/>
        </w:rPr>
        <w:t>The UE shall perform handover and PSCell addition in parallel.</w:t>
      </w:r>
    </w:p>
    <w:p>
      <w:pPr>
        <w:rPr>
          <w:rFonts w:hint="eastAsia" w:eastAsia="宋体"/>
          <w:sz w:val="22"/>
          <w:szCs w:val="22"/>
          <w:lang w:val="en-US" w:eastAsia="zh-CN"/>
        </w:rPr>
      </w:pPr>
      <w:r>
        <w:rPr>
          <w:rFonts w:hint="eastAsia" w:eastAsia="宋体"/>
          <w:sz w:val="22"/>
          <w:szCs w:val="22"/>
          <w:lang w:val="en-US" w:eastAsia="zh-CN"/>
        </w:rPr>
        <w:t>When specifying requirements, we need to align with the current specification and the same applicability rule in TS 38.133 [3] shall apply. The current rule is copied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keepNext/>
              <w:keepLines/>
              <w:spacing w:before="120"/>
              <w:ind w:left="1134" w:hanging="1134"/>
              <w:outlineLvl w:val="2"/>
              <w:rPr>
                <w:rFonts w:ascii="Arial" w:hAnsi="Arial"/>
                <w:sz w:val="28"/>
              </w:rPr>
            </w:pPr>
            <w:r>
              <w:rPr>
                <w:rFonts w:hint="eastAsia" w:ascii="Arial" w:hAnsi="Arial" w:eastAsia="宋体"/>
                <w:sz w:val="28"/>
                <w:lang w:val="en-US" w:eastAsia="zh-CN"/>
              </w:rPr>
              <w:t xml:space="preserve">3.6.8   </w:t>
            </w:r>
            <w:r>
              <w:rPr>
                <w:rFonts w:ascii="Arial" w:hAnsi="Arial"/>
                <w:sz w:val="28"/>
              </w:rPr>
              <w:t xml:space="preserve">Applicability of 2-step RA and 4-step RA in RRM requirements </w:t>
            </w:r>
          </w:p>
          <w:p>
            <w:r>
              <w:t>Unless explicitly stated otherwise the requirements under the following clauses, where the UE transmits random acess to NR serving cell or NR target cell, are applicable for both 2-step RA and 4-step RA procedures [3]:</w:t>
            </w:r>
          </w:p>
          <w:p>
            <w:pPr>
              <w:pStyle w:val="68"/>
            </w:pPr>
            <w:r>
              <w:t>-</w:t>
            </w:r>
            <w:r>
              <w:tab/>
            </w:r>
            <w:r>
              <w:t xml:space="preserve">Handover requirements in clause 6.1, except for clause 6.1.2 </w:t>
            </w:r>
          </w:p>
          <w:p>
            <w:pPr>
              <w:pStyle w:val="68"/>
            </w:pPr>
            <w:r>
              <w:t>-</w:t>
            </w:r>
            <w:r>
              <w:tab/>
            </w:r>
            <w:r>
              <w:t xml:space="preserve">RRC connection mobility control requirements in clause 6.2, except for clause 6.2.2, </w:t>
            </w:r>
          </w:p>
          <w:p>
            <w:pPr>
              <w:pStyle w:val="68"/>
            </w:pPr>
            <w:r>
              <w:t>-</w:t>
            </w:r>
            <w:r>
              <w:tab/>
            </w:r>
            <w:r>
              <w:t>UE transmit timing requirements in clause 7.1,</w:t>
            </w:r>
          </w:p>
          <w:p>
            <w:pPr>
              <w:pStyle w:val="68"/>
            </w:pPr>
            <w:r>
              <w:t>-</w:t>
            </w:r>
            <w:r>
              <w:tab/>
            </w:r>
            <w:r>
              <w:t xml:space="preserve">PScell addition delay requirements in clause 8.9.2, </w:t>
            </w:r>
          </w:p>
          <w:p>
            <w:pPr>
              <w:pStyle w:val="68"/>
            </w:pPr>
            <w:r>
              <w:t>-</w:t>
            </w:r>
            <w:r>
              <w:tab/>
            </w:r>
            <w:r>
              <w:t>PSCell change requirements in clause 8.11 and</w:t>
            </w:r>
          </w:p>
          <w:p>
            <w:pPr>
              <w:pStyle w:val="68"/>
              <w:rPr>
                <w:rFonts w:hint="eastAsia" w:eastAsia="宋体"/>
                <w:sz w:val="22"/>
                <w:szCs w:val="22"/>
                <w:vertAlign w:val="baseline"/>
                <w:lang w:val="en-US" w:eastAsia="zh-CN"/>
              </w:rPr>
            </w:pPr>
            <w:r>
              <w:t>-</w:t>
            </w:r>
            <w:r>
              <w:tab/>
            </w:r>
            <w:r>
              <w:t>Conditional PSCell change requirements in clause 8.11B.</w:t>
            </w:r>
          </w:p>
        </w:tc>
      </w:tr>
    </w:tbl>
    <w:p>
      <w:pPr>
        <w:rPr>
          <w:rFonts w:hint="eastAsia" w:eastAsia="宋体"/>
          <w:sz w:val="22"/>
          <w:szCs w:val="22"/>
          <w:lang w:val="en-US" w:eastAsia="zh-CN"/>
        </w:rPr>
      </w:pPr>
      <w:r>
        <w:rPr>
          <w:rFonts w:hint="eastAsia" w:eastAsia="宋体"/>
          <w:sz w:val="22"/>
          <w:szCs w:val="22"/>
          <w:lang w:val="en-US" w:eastAsia="zh-CN"/>
        </w:rPr>
        <w:t>As reflected by the current applicability rule, both 2-step RA and 4-step RA are considered in handover requirements (except for handover to another RAT) and PSCell addition delay requirements. Thus, it</w:t>
      </w:r>
      <w:r>
        <w:rPr>
          <w:rFonts w:hint="default" w:eastAsia="宋体"/>
          <w:sz w:val="22"/>
          <w:szCs w:val="22"/>
          <w:lang w:val="en-US" w:eastAsia="zh-CN"/>
        </w:rPr>
        <w:t>’</w:t>
      </w:r>
      <w:r>
        <w:rPr>
          <w:rFonts w:hint="eastAsia" w:eastAsia="宋体"/>
          <w:sz w:val="22"/>
          <w:szCs w:val="22"/>
          <w:lang w:val="en-US" w:eastAsia="zh-CN"/>
        </w:rPr>
        <w:t>s reasonable to also include both 2-step RA and 4-step RA into the new requirements made for handover with PSCell.</w:t>
      </w:r>
    </w:p>
    <w:p>
      <w:pPr>
        <w:rPr>
          <w:rFonts w:hint="default" w:eastAsia="宋体"/>
          <w:sz w:val="22"/>
          <w:szCs w:val="22"/>
          <w:lang w:val="en-US" w:eastAsia="zh-CN"/>
        </w:rPr>
      </w:pPr>
      <w:r>
        <w:rPr>
          <w:rFonts w:hint="eastAsia" w:eastAsia="宋体"/>
          <w:sz w:val="22"/>
          <w:szCs w:val="22"/>
          <w:lang w:val="en-US" w:eastAsia="zh-CN"/>
        </w:rPr>
        <w:t>Some companies suggested to wait for the reply LS on issue 2-2-3 and then conclude on this, however we don</w:t>
      </w:r>
      <w:r>
        <w:rPr>
          <w:rFonts w:hint="default" w:eastAsia="宋体"/>
          <w:sz w:val="22"/>
          <w:szCs w:val="22"/>
          <w:lang w:val="en-US" w:eastAsia="zh-CN"/>
        </w:rPr>
        <w:t>’</w:t>
      </w:r>
      <w:r>
        <w:rPr>
          <w:rFonts w:hint="eastAsia" w:eastAsia="宋体"/>
          <w:sz w:val="22"/>
          <w:szCs w:val="22"/>
          <w:lang w:val="en-US" w:eastAsia="zh-CN"/>
        </w:rPr>
        <w:t>t think they are relevant issues. Again, we want to repeat our point that 2-step RACH is defined in a generic way and by default it applies to all relevant procedures involving RA.</w:t>
      </w:r>
    </w:p>
    <w:p>
      <w:pPr>
        <w:pStyle w:val="38"/>
        <w:rPr>
          <w:rFonts w:hint="default" w:eastAsia="宋体"/>
          <w:sz w:val="22"/>
          <w:szCs w:val="22"/>
          <w:lang w:val="en-US" w:eastAsia="zh-CN"/>
        </w:rPr>
      </w:pPr>
      <w:r>
        <w:rPr>
          <w:rFonts w:hint="eastAsia" w:eastAsia="宋体"/>
          <w:sz w:val="22"/>
          <w:szCs w:val="22"/>
          <w:lang w:val="en-US" w:eastAsia="zh-CN"/>
        </w:rPr>
        <w:t>Include both 2-step RA and 4-step RA into the new requirements made for handover with PSCell.</w:t>
      </w:r>
    </w:p>
    <w:p>
      <w:pPr>
        <w:rPr>
          <w:rFonts w:hint="eastAsia" w:eastAsia="宋体"/>
          <w:sz w:val="22"/>
          <w:szCs w:val="22"/>
          <w:lang w:val="en-US" w:eastAsia="zh-CN"/>
        </w:rPr>
      </w:pPr>
      <w:r>
        <w:rPr>
          <w:rFonts w:hint="eastAsia" w:eastAsia="宋体"/>
          <w:sz w:val="22"/>
          <w:szCs w:val="22"/>
          <w:lang w:val="en-US" w:eastAsia="zh-CN"/>
        </w:rPr>
        <w:t>For Issue 2-2-5 in the WF, we think that even if the PSCell is not changed, the UE doesn</w:t>
      </w:r>
      <w:r>
        <w:rPr>
          <w:rFonts w:hint="default" w:eastAsia="宋体"/>
          <w:sz w:val="22"/>
          <w:szCs w:val="22"/>
          <w:lang w:val="en-US" w:eastAsia="zh-CN"/>
        </w:rPr>
        <w:t>’</w:t>
      </w:r>
      <w:r>
        <w:rPr>
          <w:rFonts w:hint="eastAsia" w:eastAsia="宋体"/>
          <w:sz w:val="22"/>
          <w:szCs w:val="22"/>
          <w:lang w:val="en-US" w:eastAsia="zh-CN"/>
        </w:rPr>
        <w:t>t store that information so time tracking is needed.</w:t>
      </w:r>
    </w:p>
    <w:p>
      <w:pPr>
        <w:pStyle w:val="38"/>
        <w:rPr>
          <w:rFonts w:hint="default" w:eastAsia="宋体"/>
          <w:sz w:val="22"/>
          <w:szCs w:val="22"/>
          <w:lang w:val="en-US" w:eastAsia="zh-CN"/>
        </w:rPr>
      </w:pPr>
      <w:r>
        <w:rPr>
          <w:rFonts w:hint="default" w:eastAsia="宋体"/>
          <w:sz w:val="22"/>
          <w:szCs w:val="22"/>
          <w:lang w:val="en-US" w:eastAsia="zh-CN"/>
        </w:rPr>
        <w:t>For UE which is already configured with DC, the UE’s behaviour is same when the configured PSCell is same as the original one or not.</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 xml:space="preserve">For the starting point of the delay, </w:t>
      </w:r>
      <w:r>
        <w:rPr>
          <w:rFonts w:hint="default" w:eastAsia="宋体"/>
          <w:b/>
          <w:bCs w:val="0"/>
          <w:sz w:val="22"/>
          <w:szCs w:val="22"/>
          <w:lang w:val="en-US" w:eastAsia="zh-CN"/>
        </w:rPr>
        <w:t>reuse the starting point definition from legacy HO, i.e., the end of the last TTI containing the RRC command implying handover with PSCell.</w:t>
      </w:r>
    </w:p>
    <w:p>
      <w:pPr>
        <w:pStyle w:val="38"/>
        <w:numPr>
          <w:ilvl w:val="0"/>
          <w:numId w:val="0"/>
        </w:numPr>
        <w:ind w:leftChars="0"/>
        <w:rPr>
          <w:rFonts w:hint="default" w:eastAsia="宋体"/>
          <w:sz w:val="22"/>
          <w:szCs w:val="22"/>
          <w:lang w:val="en-US" w:eastAsia="zh-CN"/>
        </w:rPr>
      </w:pPr>
      <w:r>
        <w:rPr>
          <w:rFonts w:hint="eastAsia"/>
          <w:b/>
          <w:bCs w:val="0"/>
          <w:sz w:val="22"/>
          <w:szCs w:val="22"/>
          <w:lang w:val="en-US" w:eastAsia="zh-CN"/>
        </w:rPr>
        <w:t xml:space="preserve">Proposal 2: </w:t>
      </w:r>
      <w:r>
        <w:rPr>
          <w:rFonts w:hint="eastAsia" w:eastAsia="宋体"/>
          <w:sz w:val="22"/>
          <w:szCs w:val="22"/>
          <w:lang w:val="en-US" w:eastAsia="zh-CN"/>
        </w:rPr>
        <w:t>The UE shall perform handover and PSCell addition in parallel.</w:t>
      </w:r>
    </w:p>
    <w:p>
      <w:pPr>
        <w:rPr>
          <w:rFonts w:hint="eastAsia" w:eastAsia="宋体"/>
          <w:b/>
          <w:bCs/>
          <w:sz w:val="22"/>
          <w:szCs w:val="22"/>
          <w:lang w:val="en-US" w:eastAsia="zh-CN"/>
        </w:rPr>
      </w:pPr>
      <w:r>
        <w:rPr>
          <w:rFonts w:hint="eastAsia"/>
          <w:b/>
          <w:bCs w:val="0"/>
          <w:sz w:val="22"/>
          <w:szCs w:val="22"/>
          <w:lang w:val="en-US" w:eastAsia="zh-CN"/>
        </w:rPr>
        <w:t xml:space="preserve">Proposal 3: </w:t>
      </w:r>
      <w:r>
        <w:rPr>
          <w:rFonts w:hint="eastAsia" w:eastAsia="宋体"/>
          <w:b/>
          <w:bCs/>
          <w:sz w:val="22"/>
          <w:szCs w:val="22"/>
          <w:lang w:val="en-US" w:eastAsia="zh-CN"/>
        </w:rPr>
        <w:t>Include both 2-step RA and 4-step RA into the new requirements made for handover with PSCell.</w:t>
      </w:r>
    </w:p>
    <w:p>
      <w:pPr>
        <w:rPr>
          <w:rFonts w:hint="default" w:eastAsia="宋体"/>
          <w:b/>
          <w:bCs/>
          <w:sz w:val="22"/>
          <w:szCs w:val="22"/>
          <w:lang w:val="en-US" w:eastAsia="zh-CN"/>
        </w:rPr>
      </w:pPr>
      <w:r>
        <w:rPr>
          <w:rFonts w:hint="eastAsia"/>
          <w:b/>
          <w:bCs w:val="0"/>
          <w:sz w:val="22"/>
          <w:szCs w:val="22"/>
          <w:lang w:val="en-US" w:eastAsia="zh-CN"/>
        </w:rPr>
        <w:t xml:space="preserve">Proposal 4: </w:t>
      </w:r>
      <w:r>
        <w:rPr>
          <w:rFonts w:hint="default" w:eastAsia="宋体"/>
          <w:b/>
          <w:bCs w:val="0"/>
          <w:sz w:val="22"/>
          <w:szCs w:val="22"/>
          <w:lang w:val="en-US" w:eastAsia="zh-CN"/>
        </w:rPr>
        <w:t>For UE which is already configured with DC, the UE’s behaviour is same when the configured PSCell is same as the original one or not.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R4-2105787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2903F2"/>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D849A5"/>
    <w:rsid w:val="0C0F2D47"/>
    <w:rsid w:val="0C2A1653"/>
    <w:rsid w:val="0C3C5307"/>
    <w:rsid w:val="0C56263C"/>
    <w:rsid w:val="0C5E2B8A"/>
    <w:rsid w:val="0D102274"/>
    <w:rsid w:val="0DA958CA"/>
    <w:rsid w:val="0DF104D3"/>
    <w:rsid w:val="0E1C586B"/>
    <w:rsid w:val="0E8A024B"/>
    <w:rsid w:val="0E9006B5"/>
    <w:rsid w:val="0ED138E6"/>
    <w:rsid w:val="0F130B06"/>
    <w:rsid w:val="0F67780F"/>
    <w:rsid w:val="0F8F3C2A"/>
    <w:rsid w:val="0FB648CB"/>
    <w:rsid w:val="0FD0731A"/>
    <w:rsid w:val="0FF1533A"/>
    <w:rsid w:val="0FF72A44"/>
    <w:rsid w:val="0FFE0AFA"/>
    <w:rsid w:val="1000683B"/>
    <w:rsid w:val="10462691"/>
    <w:rsid w:val="10732202"/>
    <w:rsid w:val="10860ED5"/>
    <w:rsid w:val="10AA3C13"/>
    <w:rsid w:val="10CA41CF"/>
    <w:rsid w:val="10CD0B75"/>
    <w:rsid w:val="10D743A1"/>
    <w:rsid w:val="110C4D24"/>
    <w:rsid w:val="11283655"/>
    <w:rsid w:val="113B0066"/>
    <w:rsid w:val="11F71F3A"/>
    <w:rsid w:val="122017FC"/>
    <w:rsid w:val="12753179"/>
    <w:rsid w:val="128409CA"/>
    <w:rsid w:val="12BB3A94"/>
    <w:rsid w:val="12D91E53"/>
    <w:rsid w:val="12EF585C"/>
    <w:rsid w:val="13262572"/>
    <w:rsid w:val="136D11EC"/>
    <w:rsid w:val="137D50D6"/>
    <w:rsid w:val="139B3B65"/>
    <w:rsid w:val="13A62830"/>
    <w:rsid w:val="13D36053"/>
    <w:rsid w:val="13F75352"/>
    <w:rsid w:val="13FA5349"/>
    <w:rsid w:val="140D3F9C"/>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3793D"/>
    <w:rsid w:val="24E91488"/>
    <w:rsid w:val="25077EC5"/>
    <w:rsid w:val="256A021C"/>
    <w:rsid w:val="25962669"/>
    <w:rsid w:val="25C20278"/>
    <w:rsid w:val="25C545AD"/>
    <w:rsid w:val="25E74495"/>
    <w:rsid w:val="262D62D9"/>
    <w:rsid w:val="26681CAB"/>
    <w:rsid w:val="267E5FCE"/>
    <w:rsid w:val="27572E0B"/>
    <w:rsid w:val="2762235C"/>
    <w:rsid w:val="276537E8"/>
    <w:rsid w:val="280C272A"/>
    <w:rsid w:val="281B6C69"/>
    <w:rsid w:val="284E33F7"/>
    <w:rsid w:val="28560910"/>
    <w:rsid w:val="28686999"/>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B54475"/>
    <w:rsid w:val="32EE27B2"/>
    <w:rsid w:val="33372789"/>
    <w:rsid w:val="333876C2"/>
    <w:rsid w:val="33484A1E"/>
    <w:rsid w:val="335F47E9"/>
    <w:rsid w:val="33FB17D8"/>
    <w:rsid w:val="34095F4A"/>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65297"/>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E1009A"/>
    <w:rsid w:val="54F516DC"/>
    <w:rsid w:val="5553143F"/>
    <w:rsid w:val="55B42DC5"/>
    <w:rsid w:val="55C82763"/>
    <w:rsid w:val="55CE50F9"/>
    <w:rsid w:val="561E43E8"/>
    <w:rsid w:val="56243301"/>
    <w:rsid w:val="567B20DA"/>
    <w:rsid w:val="56943FE8"/>
    <w:rsid w:val="56DA5A5F"/>
    <w:rsid w:val="576A4F53"/>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DEB501B"/>
    <w:rsid w:val="5E051414"/>
    <w:rsid w:val="5E206741"/>
    <w:rsid w:val="5E2D4C21"/>
    <w:rsid w:val="5E820037"/>
    <w:rsid w:val="5EE41E2E"/>
    <w:rsid w:val="5F0F00DA"/>
    <w:rsid w:val="5F2A18DF"/>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4EE7BC6"/>
    <w:rsid w:val="657C25FC"/>
    <w:rsid w:val="65997784"/>
    <w:rsid w:val="65A976E6"/>
    <w:rsid w:val="65C64C37"/>
    <w:rsid w:val="65D01190"/>
    <w:rsid w:val="65EB5CB2"/>
    <w:rsid w:val="65F777F9"/>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D1445D"/>
    <w:rsid w:val="6AFC6812"/>
    <w:rsid w:val="6B5E2EC6"/>
    <w:rsid w:val="6B7575DB"/>
    <w:rsid w:val="6C42065A"/>
    <w:rsid w:val="6C6707E2"/>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BE4D9F"/>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741A70"/>
    <w:rsid w:val="78E07009"/>
    <w:rsid w:val="793758F2"/>
    <w:rsid w:val="79732654"/>
    <w:rsid w:val="79C0590F"/>
    <w:rsid w:val="7A080BBF"/>
    <w:rsid w:val="7A4F2396"/>
    <w:rsid w:val="7A787ECB"/>
    <w:rsid w:val="7A875FC6"/>
    <w:rsid w:val="7A8B51CB"/>
    <w:rsid w:val="7A984514"/>
    <w:rsid w:val="7AB507FA"/>
    <w:rsid w:val="7AC634CB"/>
    <w:rsid w:val="7ACB482C"/>
    <w:rsid w:val="7AF137EF"/>
    <w:rsid w:val="7B2531D6"/>
    <w:rsid w:val="7B5B11D8"/>
    <w:rsid w:val="7B741F58"/>
    <w:rsid w:val="7C41564D"/>
    <w:rsid w:val="7C8E16C9"/>
    <w:rsid w:val="7CA10AF6"/>
    <w:rsid w:val="7CB561C0"/>
    <w:rsid w:val="7CCC277F"/>
    <w:rsid w:val="7CE3033A"/>
    <w:rsid w:val="7D0A2590"/>
    <w:rsid w:val="7D550752"/>
    <w:rsid w:val="7D6A7A29"/>
    <w:rsid w:val="7DA0035E"/>
    <w:rsid w:val="7DCC5A45"/>
    <w:rsid w:val="7E630B4F"/>
    <w:rsid w:val="7E681387"/>
    <w:rsid w:val="7E8B6D0C"/>
    <w:rsid w:val="7F285EA4"/>
    <w:rsid w:val="7F4B350F"/>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2021-05-08T11:57:48Z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